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5C634" w14:textId="77777777" w:rsidR="00F9755A" w:rsidRDefault="0038017F">
      <w:pPr>
        <w:rPr>
          <w:rFonts w:ascii="Cambria" w:eastAsia="Cambria" w:hAnsi="Cambria" w:cs="Cambria"/>
          <w:b/>
          <w:sz w:val="32"/>
          <w:szCs w:val="32"/>
          <w:highlight w:val="white"/>
        </w:rPr>
      </w:pPr>
      <w:r>
        <w:rPr>
          <w:rFonts w:ascii="Cambria" w:eastAsia="Cambria" w:hAnsi="Cambria" w:cs="Cambria"/>
          <w:b/>
          <w:color w:val="000000"/>
          <w:sz w:val="32"/>
          <w:szCs w:val="32"/>
          <w:highlight w:val="white"/>
        </w:rPr>
        <w:t xml:space="preserve">                                      Dashboard Design</w:t>
      </w:r>
    </w:p>
    <w:p w14:paraId="231173F0" w14:textId="77777777" w:rsidR="00F9755A" w:rsidRDefault="00F9755A">
      <w:pPr>
        <w:widowControl w:val="0"/>
        <w:spacing w:before="39" w:after="0" w:line="240" w:lineRule="auto"/>
        <w:ind w:left="2701"/>
        <w:rPr>
          <w:b/>
          <w:sz w:val="28"/>
          <w:szCs w:val="28"/>
        </w:rPr>
      </w:pPr>
    </w:p>
    <w:tbl>
      <w:tblPr>
        <w:tblStyle w:val="a"/>
        <w:tblW w:w="90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7"/>
        <w:gridCol w:w="4511"/>
      </w:tblGrid>
      <w:tr w:rsidR="00F9755A" w14:paraId="28C36E11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76C1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Date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DCFA2" w14:textId="543A1127" w:rsidR="00F9755A" w:rsidRDefault="0038017F">
            <w:pPr>
              <w:widowControl w:val="0"/>
              <w:spacing w:after="0" w:line="240" w:lineRule="auto"/>
              <w:ind w:left="131"/>
            </w:pPr>
            <w:r>
              <w:t>19</w:t>
            </w:r>
            <w:r w:rsidR="00933D90">
              <w:t xml:space="preserve"> </w:t>
            </w:r>
            <w:r w:rsidR="00DE577D">
              <w:t>DEC</w:t>
            </w:r>
            <w:r>
              <w:t xml:space="preserve"> 202</w:t>
            </w:r>
            <w:r w:rsidR="00DE577D">
              <w:t>5</w:t>
            </w:r>
          </w:p>
        </w:tc>
      </w:tr>
      <w:tr w:rsidR="00F9755A" w14:paraId="7977D778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25186" w14:textId="77777777" w:rsidR="00F9755A" w:rsidRDefault="0038017F">
            <w:pPr>
              <w:widowControl w:val="0"/>
              <w:spacing w:after="0" w:line="240" w:lineRule="auto"/>
              <w:ind w:left="114"/>
            </w:pPr>
            <w:r>
              <w:t xml:space="preserve">Team ID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E693C" w14:textId="297A5A7F" w:rsidR="00F9755A" w:rsidRDefault="0038017F">
            <w:pPr>
              <w:widowControl w:val="0"/>
              <w:spacing w:after="0" w:line="240" w:lineRule="auto"/>
              <w:ind w:left="131"/>
            </w:pPr>
            <w:r>
              <w:t>PNT202</w:t>
            </w:r>
            <w:r w:rsidR="000A538F">
              <w:t>5</w:t>
            </w:r>
            <w:r>
              <w:t>TMIDxxxxxx</w:t>
            </w:r>
          </w:p>
        </w:tc>
      </w:tr>
      <w:tr w:rsidR="00F9755A" w14:paraId="6D67DDF3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20B09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Project Name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163C" w14:textId="4F85C1AA" w:rsidR="00F9755A" w:rsidRDefault="00DE577D">
            <w:pPr>
              <w:widowControl w:val="0"/>
              <w:spacing w:after="0" w:line="240" w:lineRule="auto"/>
              <w:ind w:left="131"/>
            </w:pPr>
            <w:r w:rsidRPr="00DE577D">
              <w:t>Global Energy Trends: A Comprehensive Analysis of Key Regions and Generation Modes using Power BI</w:t>
            </w:r>
          </w:p>
        </w:tc>
      </w:tr>
      <w:tr w:rsidR="00F9755A" w14:paraId="3F8E6629" w14:textId="77777777">
        <w:trPr>
          <w:trHeight w:val="278"/>
        </w:trPr>
        <w:tc>
          <w:tcPr>
            <w:tcW w:w="450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B188" w14:textId="77777777" w:rsidR="00F9755A" w:rsidRDefault="0038017F">
            <w:pPr>
              <w:widowControl w:val="0"/>
              <w:spacing w:after="0" w:line="240" w:lineRule="auto"/>
              <w:ind w:left="131"/>
            </w:pPr>
            <w:r>
              <w:t xml:space="preserve">Maximum Marks </w:t>
            </w:r>
          </w:p>
        </w:tc>
        <w:tc>
          <w:tcPr>
            <w:tcW w:w="4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98ACB" w14:textId="177AF182" w:rsidR="00F9755A" w:rsidRDefault="0017660E">
            <w:pPr>
              <w:widowControl w:val="0"/>
              <w:spacing w:after="0" w:line="240" w:lineRule="auto"/>
              <w:ind w:left="125"/>
            </w:pPr>
            <w:proofErr w:type="gramStart"/>
            <w:r>
              <w:t>5  Marks</w:t>
            </w:r>
            <w:proofErr w:type="gramEnd"/>
          </w:p>
        </w:tc>
      </w:tr>
    </w:tbl>
    <w:p w14:paraId="54F2199F" w14:textId="77777777" w:rsidR="00F9755A" w:rsidRDefault="00F9755A">
      <w:pPr>
        <w:widowControl w:val="0"/>
        <w:spacing w:after="0" w:line="276" w:lineRule="auto"/>
        <w:rPr>
          <w:rFonts w:ascii="Cambria" w:eastAsia="Cambria" w:hAnsi="Cambria" w:cs="Cambria"/>
          <w:b/>
          <w:sz w:val="32"/>
          <w:szCs w:val="32"/>
          <w:highlight w:val="white"/>
        </w:rPr>
      </w:pPr>
    </w:p>
    <w:p w14:paraId="5A4B35F4" w14:textId="49D177F4" w:rsidR="004F6881" w:rsidRDefault="004F6881">
      <w:pPr>
        <w:widowControl w:val="0"/>
        <w:spacing w:after="0" w:line="276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  <w:r w:rsidRPr="004F6881">
        <w:rPr>
          <w:rFonts w:ascii="Arial" w:eastAsia="Arial" w:hAnsi="Arial" w:cs="Arial"/>
          <w:b/>
          <w:bCs/>
          <w:color w:val="333333"/>
          <w:sz w:val="36"/>
          <w:szCs w:val="36"/>
        </w:rPr>
        <w:t>Global Energy Consumption Trends</w:t>
      </w:r>
      <w:r w:rsidR="00492630">
        <w:rPr>
          <w:rFonts w:ascii="Arial" w:eastAsia="Arial" w:hAnsi="Arial" w:cs="Arial"/>
          <w:b/>
          <w:bCs/>
          <w:color w:val="333333"/>
          <w:sz w:val="36"/>
          <w:szCs w:val="36"/>
        </w:rPr>
        <w:t>:</w:t>
      </w:r>
    </w:p>
    <w:p w14:paraId="40C7659A" w14:textId="77777777" w:rsidR="00492630" w:rsidRDefault="00492630">
      <w:pPr>
        <w:widowControl w:val="0"/>
        <w:spacing w:after="0" w:line="276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</w:p>
    <w:p w14:paraId="3511D201" w14:textId="2DD7386A" w:rsidR="00492630" w:rsidRPr="004F6881" w:rsidRDefault="00492630">
      <w:pPr>
        <w:widowControl w:val="0"/>
        <w:spacing w:after="0" w:line="276" w:lineRule="auto"/>
        <w:rPr>
          <w:rFonts w:ascii="Cambria" w:eastAsia="Cambria" w:hAnsi="Cambria" w:cs="Cambria"/>
          <w:b/>
          <w:sz w:val="36"/>
          <w:szCs w:val="36"/>
          <w:highlight w:val="white"/>
        </w:rPr>
      </w:pPr>
      <w:r w:rsidRPr="00492630">
        <w:rPr>
          <w:rFonts w:ascii="Cambria" w:eastAsia="Cambria" w:hAnsi="Cambria" w:cs="Cambria"/>
          <w:b/>
          <w:noProof/>
          <w:sz w:val="36"/>
          <w:szCs w:val="36"/>
        </w:rPr>
        <w:drawing>
          <wp:inline distT="0" distB="0" distL="0" distR="0" wp14:anchorId="3E0D2D58" wp14:editId="5BB3FBEB">
            <wp:extent cx="5731510" cy="3192145"/>
            <wp:effectExtent l="0" t="0" r="2540" b="8255"/>
            <wp:docPr id="55638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560B" w14:textId="77777777" w:rsidR="004F6881" w:rsidRDefault="004F6881">
      <w:pPr>
        <w:widowControl w:val="0"/>
        <w:spacing w:after="0" w:line="276" w:lineRule="auto"/>
        <w:rPr>
          <w:rFonts w:ascii="Cambria" w:eastAsia="Cambria" w:hAnsi="Cambria" w:cs="Cambria"/>
          <w:b/>
          <w:sz w:val="32"/>
          <w:szCs w:val="32"/>
          <w:highlight w:val="white"/>
        </w:rPr>
      </w:pPr>
    </w:p>
    <w:p w14:paraId="4213074C" w14:textId="77777777" w:rsidR="004F6881" w:rsidRPr="004F6881" w:rsidRDefault="004F6881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This dashboard shows </w:t>
      </w:r>
      <w:r w:rsidRPr="004F6881">
        <w:rPr>
          <w:rFonts w:ascii="Arial" w:eastAsia="Arial" w:hAnsi="Arial" w:cs="Arial"/>
          <w:b/>
          <w:bCs/>
          <w:color w:val="333333"/>
        </w:rPr>
        <w:t>global energy consumption trends from 1990 to 2020</w:t>
      </w:r>
      <w:r w:rsidRPr="004F6881">
        <w:rPr>
          <w:rFonts w:ascii="Arial" w:eastAsia="Arial" w:hAnsi="Arial" w:cs="Arial"/>
          <w:color w:val="333333"/>
        </w:rPr>
        <w:t xml:space="preserve">. It helps users understand how energy usage has changed over time across </w:t>
      </w:r>
      <w:r w:rsidRPr="004F6881">
        <w:rPr>
          <w:rFonts w:ascii="Arial" w:eastAsia="Arial" w:hAnsi="Arial" w:cs="Arial"/>
          <w:b/>
          <w:bCs/>
          <w:color w:val="333333"/>
        </w:rPr>
        <w:t>different countries and regions</w:t>
      </w:r>
      <w:r w:rsidRPr="004F6881">
        <w:rPr>
          <w:rFonts w:ascii="Arial" w:eastAsia="Arial" w:hAnsi="Arial" w:cs="Arial"/>
          <w:color w:val="333333"/>
        </w:rPr>
        <w:t>.</w:t>
      </w:r>
    </w:p>
    <w:p w14:paraId="6F0BCA65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Year slicer</w:t>
      </w:r>
      <w:r w:rsidRPr="004F6881">
        <w:rPr>
          <w:rFonts w:ascii="Arial" w:eastAsia="Arial" w:hAnsi="Arial" w:cs="Arial"/>
          <w:color w:val="333333"/>
        </w:rPr>
        <w:t xml:space="preserve"> allows users to </w:t>
      </w:r>
      <w:proofErr w:type="spellStart"/>
      <w:r w:rsidRPr="004F6881">
        <w:rPr>
          <w:rFonts w:ascii="Arial" w:eastAsia="Arial" w:hAnsi="Arial" w:cs="Arial"/>
          <w:color w:val="333333"/>
        </w:rPr>
        <w:t>analyze</w:t>
      </w:r>
      <w:proofErr w:type="spellEnd"/>
      <w:r w:rsidRPr="004F6881">
        <w:rPr>
          <w:rFonts w:ascii="Arial" w:eastAsia="Arial" w:hAnsi="Arial" w:cs="Arial"/>
          <w:color w:val="333333"/>
        </w:rPr>
        <w:t xml:space="preserve"> energy consumption for a selected </w:t>
      </w:r>
      <w:proofErr w:type="gramStart"/>
      <w:r w:rsidRPr="004F6881">
        <w:rPr>
          <w:rFonts w:ascii="Arial" w:eastAsia="Arial" w:hAnsi="Arial" w:cs="Arial"/>
          <w:color w:val="333333"/>
        </w:rPr>
        <w:t>time period</w:t>
      </w:r>
      <w:proofErr w:type="gramEnd"/>
      <w:r w:rsidRPr="004F6881">
        <w:rPr>
          <w:rFonts w:ascii="Arial" w:eastAsia="Arial" w:hAnsi="Arial" w:cs="Arial"/>
          <w:color w:val="333333"/>
        </w:rPr>
        <w:t>.</w:t>
      </w:r>
    </w:p>
    <w:p w14:paraId="32607216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Country and Attribute filters</w:t>
      </w:r>
      <w:r w:rsidRPr="004F6881">
        <w:rPr>
          <w:rFonts w:ascii="Arial" w:eastAsia="Arial" w:hAnsi="Arial" w:cs="Arial"/>
          <w:color w:val="333333"/>
        </w:rPr>
        <w:t xml:space="preserve"> help focus on specific countries, continents, or economic groups such as BRICS, OECD, and CIS.</w:t>
      </w:r>
    </w:p>
    <w:p w14:paraId="39059753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KPI cards</w:t>
      </w:r>
      <w:r w:rsidRPr="004F6881">
        <w:rPr>
          <w:rFonts w:ascii="Arial" w:eastAsia="Arial" w:hAnsi="Arial" w:cs="Arial"/>
          <w:color w:val="333333"/>
        </w:rPr>
        <w:t xml:space="preserve"> display the average energy consumption values for quick reference.</w:t>
      </w:r>
    </w:p>
    <w:p w14:paraId="268B231F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top line chart</w:t>
      </w:r>
      <w:r w:rsidRPr="004F6881">
        <w:rPr>
          <w:rFonts w:ascii="Arial" w:eastAsia="Arial" w:hAnsi="Arial" w:cs="Arial"/>
          <w:color w:val="333333"/>
        </w:rPr>
        <w:t xml:space="preserve"> shows how energy consumption has increased or decreased for individual countries over the years.</w:t>
      </w:r>
    </w:p>
    <w:p w14:paraId="42CF192E" w14:textId="77777777" w:rsidR="004F6881" w:rsidRPr="004F6881" w:rsidRDefault="004F6881" w:rsidP="002732D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lastRenderedPageBreak/>
        <w:t xml:space="preserve">The </w:t>
      </w:r>
      <w:r w:rsidRPr="004F6881">
        <w:rPr>
          <w:rFonts w:ascii="Arial" w:eastAsia="Arial" w:hAnsi="Arial" w:cs="Arial"/>
          <w:b/>
          <w:bCs/>
          <w:color w:val="333333"/>
        </w:rPr>
        <w:t>bottom chart</w:t>
      </w:r>
      <w:r w:rsidRPr="004F6881">
        <w:rPr>
          <w:rFonts w:ascii="Arial" w:eastAsia="Arial" w:hAnsi="Arial" w:cs="Arial"/>
          <w:color w:val="333333"/>
        </w:rPr>
        <w:t xml:space="preserve"> compares energy consumption trends across regions and global groups.</w:t>
      </w:r>
    </w:p>
    <w:p w14:paraId="1E05C70A" w14:textId="4073A158" w:rsidR="004F6881" w:rsidRPr="002732D6" w:rsidRDefault="004F6881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</w:rPr>
      </w:pPr>
      <w:r w:rsidRPr="004F6881">
        <w:rPr>
          <w:rFonts w:ascii="Arial" w:eastAsia="Arial" w:hAnsi="Arial" w:cs="Arial"/>
          <w:color w:val="333333"/>
        </w:rPr>
        <w:t xml:space="preserve">Overall, the dashboard provides a </w:t>
      </w:r>
      <w:r w:rsidRPr="004F6881">
        <w:rPr>
          <w:rFonts w:ascii="Arial" w:eastAsia="Arial" w:hAnsi="Arial" w:cs="Arial"/>
          <w:b/>
          <w:bCs/>
          <w:color w:val="333333"/>
        </w:rPr>
        <w:t>clear and interactive view of global and regional energy consumption patterns</w:t>
      </w:r>
      <w:r w:rsidRPr="004F6881">
        <w:rPr>
          <w:rFonts w:ascii="Arial" w:eastAsia="Arial" w:hAnsi="Arial" w:cs="Arial"/>
          <w:color w:val="333333"/>
        </w:rPr>
        <w:t>, helping users identify growth trends and high-energy-consuming regions.</w:t>
      </w:r>
    </w:p>
    <w:p w14:paraId="0FCFC993" w14:textId="77777777" w:rsidR="00492630" w:rsidRDefault="00492630" w:rsidP="004F688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Arial" w:eastAsia="Arial" w:hAnsi="Arial" w:cs="Arial"/>
          <w:color w:val="333333"/>
          <w:sz w:val="20"/>
          <w:szCs w:val="20"/>
        </w:rPr>
      </w:pPr>
    </w:p>
    <w:p w14:paraId="3AA1E9E4" w14:textId="2B8C8D8E" w:rsid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  <w:r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Dash Board 2: </w:t>
      </w:r>
      <w:r w:rsidRPr="00492630">
        <w:rPr>
          <w:rFonts w:ascii="Arial" w:eastAsia="Arial" w:hAnsi="Arial" w:cs="Arial"/>
          <w:b/>
          <w:bCs/>
          <w:color w:val="333333"/>
          <w:sz w:val="36"/>
          <w:szCs w:val="36"/>
        </w:rPr>
        <w:t>Energy Production: Source</w:t>
      </w:r>
    </w:p>
    <w:p w14:paraId="2C7E8012" w14:textId="77777777" w:rsidR="00492630" w:rsidRP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b/>
          <w:bCs/>
          <w:color w:val="333333"/>
          <w:sz w:val="36"/>
          <w:szCs w:val="36"/>
        </w:rPr>
      </w:pPr>
    </w:p>
    <w:p w14:paraId="5B406199" w14:textId="2504817D" w:rsidR="00492630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333333"/>
          <w:sz w:val="20"/>
          <w:szCs w:val="20"/>
        </w:rPr>
      </w:pPr>
      <w:r w:rsidRPr="00492630">
        <w:rPr>
          <w:rFonts w:ascii="Arial" w:eastAsia="Arial" w:hAnsi="Arial" w:cs="Arial"/>
          <w:color w:val="333333"/>
          <w:sz w:val="20"/>
          <w:szCs w:val="20"/>
        </w:rPr>
        <w:drawing>
          <wp:inline distT="0" distB="0" distL="0" distR="0" wp14:anchorId="38E85CE5" wp14:editId="0E1C3DEC">
            <wp:extent cx="5731510" cy="3120390"/>
            <wp:effectExtent l="0" t="0" r="2540" b="3810"/>
            <wp:docPr id="137794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43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AF5C" w14:textId="08E69D2F" w:rsidR="00F9755A" w:rsidRDefault="00492630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This dashboard explains </w:t>
      </w:r>
      <w:r w:rsidRPr="00492630">
        <w:rPr>
          <w:rFonts w:ascii="Arial" w:eastAsia="Arial" w:hAnsi="Arial" w:cs="Arial"/>
          <w:b/>
          <w:bCs/>
          <w:color w:val="333333"/>
          <w:sz w:val="24"/>
          <w:szCs w:val="24"/>
        </w:rPr>
        <w:t>energy production by source</w:t>
      </w: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, comparing </w:t>
      </w:r>
      <w:r w:rsidRPr="00492630">
        <w:rPr>
          <w:rFonts w:ascii="Arial" w:eastAsia="Arial" w:hAnsi="Arial" w:cs="Arial"/>
          <w:b/>
          <w:bCs/>
          <w:color w:val="333333"/>
          <w:sz w:val="24"/>
          <w:szCs w:val="24"/>
        </w:rPr>
        <w:t>renewable and non-renewable energy</w:t>
      </w:r>
      <w:r w:rsidRPr="00492630">
        <w:rPr>
          <w:rFonts w:ascii="Arial" w:eastAsia="Arial" w:hAnsi="Arial" w:cs="Arial"/>
          <w:color w:val="333333"/>
          <w:sz w:val="24"/>
          <w:szCs w:val="24"/>
        </w:rPr>
        <w:t xml:space="preserve"> over time.</w:t>
      </w:r>
    </w:p>
    <w:p w14:paraId="596C7494" w14:textId="77777777" w:rsidR="0025328C" w:rsidRDefault="0025328C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</w:p>
    <w:p w14:paraId="34A7BE59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Non-Renewable Source / Renewable Source (Buttons):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Used to filter energy production data by specific non-renewable sources (Coal, Oil, Natural Gas, Nuclear, Waste) and renewable sources (Hydro, Solar, Wind, Biofuel, Geothermal, Tidal).</w:t>
      </w:r>
    </w:p>
    <w:p w14:paraId="223E1C2C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Sum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Shows the total energy produced from the selected sources in terawatt-hours.</w:t>
      </w:r>
    </w:p>
    <w:p w14:paraId="43CB9488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Median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Displays the middle value of energy contribution, helping understand typical production levels.</w:t>
      </w:r>
    </w:p>
    <w:p w14:paraId="740E095C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Standard Deviation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Indicates the variation in energy production, showing how much values differ from the average.</w:t>
      </w:r>
    </w:p>
    <w:p w14:paraId="5989F419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lastRenderedPageBreak/>
        <w:t>Variance of Contribution (TWh):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Represents the spread of energy production data, highlighting fluctuations across sources.</w:t>
      </w:r>
    </w:p>
    <w:p w14:paraId="1C664FA8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Non-Renewable Energy Source – Sum of Contribution (TWh) by Mode of Generation: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Pie chart showing the distribution of non-renewable energy production across coal, natural gas, nuclear, oil, waste, and municipal sources.</w:t>
      </w:r>
    </w:p>
    <w:p w14:paraId="1C0A9B14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Renewable Power Generation 1997–2017: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Line/column chart showing the growth trend of renewable energy sources such as Hydro, Solar PV, Biofuel, and Geothermal over time.</w:t>
      </w:r>
    </w:p>
    <w:p w14:paraId="5DEC06D6" w14:textId="77777777" w:rsidR="0025328C" w:rsidRPr="0025328C" w:rsidRDefault="0025328C" w:rsidP="0025328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Renewable Energy Source: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Donut chart displaying the percentage contribution of each renewable source, helping compare their relative importance.</w:t>
      </w:r>
    </w:p>
    <w:p w14:paraId="42CF1EE7" w14:textId="77777777" w:rsidR="0025328C" w:rsidRDefault="0025328C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5328C">
        <w:rPr>
          <w:rFonts w:ascii="Arial" w:eastAsia="Arial" w:hAnsi="Arial" w:cs="Arial"/>
          <w:color w:val="333333"/>
          <w:sz w:val="24"/>
          <w:szCs w:val="24"/>
        </w:rPr>
        <w:t>Overall:</w:t>
      </w:r>
      <w:r w:rsidRPr="0025328C">
        <w:rPr>
          <w:rFonts w:ascii="Arial" w:eastAsia="Arial" w:hAnsi="Arial" w:cs="Arial"/>
          <w:color w:val="333333"/>
          <w:sz w:val="24"/>
          <w:szCs w:val="24"/>
        </w:rPr>
        <w:br/>
        <w:t>This dashboard clearly summarizes energy production by source, compares renewable and non-renewable contributions, and highlights the rising trend of renewable energy generation.</w:t>
      </w:r>
    </w:p>
    <w:p w14:paraId="4D2C3C5F" w14:textId="77777777" w:rsidR="00840FEA" w:rsidRDefault="00840FEA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</w:p>
    <w:p w14:paraId="7DD7A161" w14:textId="4368D3E7" w:rsidR="00840FEA" w:rsidRDefault="00840FEA" w:rsidP="0025328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Dash Board </w:t>
      </w:r>
      <w:r>
        <w:rPr>
          <w:rFonts w:ascii="Arial" w:eastAsia="Arial" w:hAnsi="Arial" w:cs="Arial"/>
          <w:b/>
          <w:bCs/>
          <w:color w:val="333333"/>
          <w:sz w:val="36"/>
          <w:szCs w:val="36"/>
        </w:rPr>
        <w:t>3</w:t>
      </w:r>
      <w:r>
        <w:rPr>
          <w:rFonts w:ascii="Arial" w:eastAsia="Arial" w:hAnsi="Arial" w:cs="Arial"/>
          <w:b/>
          <w:bCs/>
          <w:color w:val="333333"/>
          <w:sz w:val="36"/>
          <w:szCs w:val="36"/>
        </w:rPr>
        <w:t>:</w:t>
      </w:r>
      <w:r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 </w:t>
      </w:r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Power </w:t>
      </w:r>
      <w:proofErr w:type="gramStart"/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>Generation :</w:t>
      </w:r>
      <w:proofErr w:type="gramEnd"/>
      <w:r w:rsidRPr="00840FEA">
        <w:rPr>
          <w:rFonts w:ascii="Arial" w:eastAsia="Arial" w:hAnsi="Arial" w:cs="Arial"/>
          <w:b/>
          <w:bCs/>
          <w:color w:val="333333"/>
          <w:sz w:val="36"/>
          <w:szCs w:val="36"/>
        </w:rPr>
        <w:t xml:space="preserve"> Top 20 Countries</w:t>
      </w:r>
    </w:p>
    <w:p w14:paraId="447AC02E" w14:textId="70D7A08F" w:rsidR="0025328C" w:rsidRDefault="00840FEA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114D61CF" wp14:editId="38C82246">
            <wp:extent cx="5731510" cy="3140710"/>
            <wp:effectExtent l="0" t="0" r="2540" b="2540"/>
            <wp:docPr id="16482100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FA00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Biofuel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Shows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biofuel-based 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produced by the top 20 countries.</w:t>
      </w:r>
    </w:p>
    <w:p w14:paraId="523BAD09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lastRenderedPageBreak/>
        <w:t>Sum of Solar PV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Displays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electricity generated from solar photovoltaic sources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across the selected countries.</w:t>
      </w:r>
    </w:p>
    <w:p w14:paraId="566A26B5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Geothermal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Represents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power generation from geothermal energy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for the top 20 countries.</w:t>
      </w:r>
    </w:p>
    <w:p w14:paraId="415BD1EF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Sum of Hydro (TWh):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Highlights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total hydropower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, which is the largest contributor among renewable sources.</w:t>
      </w:r>
    </w:p>
    <w:p w14:paraId="7A91920A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Countries (Map Visual):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World map showing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geographical distribution of the top 20 power-generating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.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>Each point represents a country’s contribution to renewable power generation.</w:t>
      </w:r>
    </w:p>
    <w:p w14:paraId="3D9C9021" w14:textId="77777777" w:rsidR="002732D6" w:rsidRPr="002732D6" w:rsidRDefault="002732D6" w:rsidP="002732D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Countries (Slicer):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Allows users to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filter and compare specific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from the top 20 list.</w:t>
      </w:r>
    </w:p>
    <w:p w14:paraId="3A521DA0" w14:textId="77777777" w:rsidR="002732D6" w:rsidRPr="002732D6" w:rsidRDefault="002732D6" w:rsidP="002732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333333"/>
          <w:sz w:val="24"/>
          <w:szCs w:val="24"/>
        </w:rPr>
      </w:pP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Overall:</w:t>
      </w:r>
      <w:r w:rsidRPr="002732D6">
        <w:rPr>
          <w:rFonts w:ascii="Arial" w:eastAsia="Arial" w:hAnsi="Arial" w:cs="Arial"/>
          <w:color w:val="333333"/>
          <w:sz w:val="24"/>
          <w:szCs w:val="24"/>
        </w:rPr>
        <w:br/>
        <w:t xml:space="preserve">This dashboard provides a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geographical and quantitative overview of renewable power generation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 xml:space="preserve"> among the </w:t>
      </w:r>
      <w:r w:rsidRPr="002732D6">
        <w:rPr>
          <w:rFonts w:ascii="Arial" w:eastAsia="Arial" w:hAnsi="Arial" w:cs="Arial"/>
          <w:b/>
          <w:bCs/>
          <w:color w:val="333333"/>
          <w:sz w:val="24"/>
          <w:szCs w:val="24"/>
        </w:rPr>
        <w:t>top 20 countries</w:t>
      </w:r>
      <w:r w:rsidRPr="002732D6">
        <w:rPr>
          <w:rFonts w:ascii="Arial" w:eastAsia="Arial" w:hAnsi="Arial" w:cs="Arial"/>
          <w:color w:val="333333"/>
          <w:sz w:val="24"/>
          <w:szCs w:val="24"/>
        </w:rPr>
        <w:t>, making it easy to identify major contributors and regional distribution patterns.</w:t>
      </w:r>
    </w:p>
    <w:p w14:paraId="6761C23A" w14:textId="77777777" w:rsidR="002732D6" w:rsidRPr="00492630" w:rsidRDefault="002732D6" w:rsidP="004926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Arial" w:eastAsia="Arial" w:hAnsi="Arial" w:cs="Arial"/>
          <w:color w:val="333333"/>
          <w:sz w:val="24"/>
          <w:szCs w:val="24"/>
        </w:rPr>
      </w:pPr>
    </w:p>
    <w:sectPr w:rsidR="002732D6" w:rsidRPr="0049263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E047880-AA55-4002-86BB-8EC14378D5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433393A-4A1D-4D48-82A5-6E05C0F87E8B}"/>
    <w:embedBold r:id="rId3" w:fontKey="{55716E4F-4A42-45CB-8806-4FECEA65DBD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C550F50-EEBB-40F2-80BD-F3CA6BD7D06F}"/>
    <w:embedItalic r:id="rId5" w:fontKey="{584BD849-925A-4B15-B784-38CB476248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47D36D3-AFC8-4E26-B628-9489206356FB}"/>
    <w:embedBold r:id="rId7" w:fontKey="{2A4C97E1-45C4-4BC2-8820-2AC85D6C34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693ADF0-C2A7-4326-9FB3-FAAC1C8019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74207"/>
    <w:multiLevelType w:val="multilevel"/>
    <w:tmpl w:val="92181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586FA2"/>
    <w:multiLevelType w:val="multilevel"/>
    <w:tmpl w:val="F678E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6F7473"/>
    <w:multiLevelType w:val="multilevel"/>
    <w:tmpl w:val="839EB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FF5D56"/>
    <w:multiLevelType w:val="multilevel"/>
    <w:tmpl w:val="CBBC8C3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00828FE"/>
    <w:multiLevelType w:val="multilevel"/>
    <w:tmpl w:val="A2CC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11A3F"/>
    <w:multiLevelType w:val="multilevel"/>
    <w:tmpl w:val="0F5A3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F94CDE"/>
    <w:multiLevelType w:val="multilevel"/>
    <w:tmpl w:val="47DE6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A43CD2"/>
    <w:multiLevelType w:val="multilevel"/>
    <w:tmpl w:val="29866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2C2DB8"/>
    <w:multiLevelType w:val="multilevel"/>
    <w:tmpl w:val="4BD4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D655AB"/>
    <w:multiLevelType w:val="multilevel"/>
    <w:tmpl w:val="7C98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E92E59"/>
    <w:multiLevelType w:val="multilevel"/>
    <w:tmpl w:val="A0E29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D01100"/>
    <w:multiLevelType w:val="multilevel"/>
    <w:tmpl w:val="A2621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205809"/>
    <w:multiLevelType w:val="multilevel"/>
    <w:tmpl w:val="4C68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2C7059"/>
    <w:multiLevelType w:val="multilevel"/>
    <w:tmpl w:val="B8948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F453D1"/>
    <w:multiLevelType w:val="multilevel"/>
    <w:tmpl w:val="5F7EB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976862"/>
    <w:multiLevelType w:val="multilevel"/>
    <w:tmpl w:val="A5541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762295"/>
    <w:multiLevelType w:val="multilevel"/>
    <w:tmpl w:val="B0DA1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1020336">
    <w:abstractNumId w:val="3"/>
  </w:num>
  <w:num w:numId="2" w16cid:durableId="597759194">
    <w:abstractNumId w:val="6"/>
  </w:num>
  <w:num w:numId="3" w16cid:durableId="1731343081">
    <w:abstractNumId w:val="15"/>
  </w:num>
  <w:num w:numId="4" w16cid:durableId="1956058162">
    <w:abstractNumId w:val="4"/>
  </w:num>
  <w:num w:numId="5" w16cid:durableId="1993217840">
    <w:abstractNumId w:val="16"/>
  </w:num>
  <w:num w:numId="6" w16cid:durableId="830489027">
    <w:abstractNumId w:val="7"/>
  </w:num>
  <w:num w:numId="7" w16cid:durableId="1272710372">
    <w:abstractNumId w:val="0"/>
  </w:num>
  <w:num w:numId="8" w16cid:durableId="1109853903">
    <w:abstractNumId w:val="9"/>
  </w:num>
  <w:num w:numId="9" w16cid:durableId="585966568">
    <w:abstractNumId w:val="12"/>
  </w:num>
  <w:num w:numId="10" w16cid:durableId="1880388991">
    <w:abstractNumId w:val="5"/>
  </w:num>
  <w:num w:numId="11" w16cid:durableId="485365216">
    <w:abstractNumId w:val="11"/>
  </w:num>
  <w:num w:numId="12" w16cid:durableId="1118647067">
    <w:abstractNumId w:val="14"/>
  </w:num>
  <w:num w:numId="13" w16cid:durableId="153958938">
    <w:abstractNumId w:val="8"/>
  </w:num>
  <w:num w:numId="14" w16cid:durableId="1114977507">
    <w:abstractNumId w:val="1"/>
  </w:num>
  <w:num w:numId="15" w16cid:durableId="992484198">
    <w:abstractNumId w:val="10"/>
  </w:num>
  <w:num w:numId="16" w16cid:durableId="1400400018">
    <w:abstractNumId w:val="2"/>
  </w:num>
  <w:num w:numId="17" w16cid:durableId="92491746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55A"/>
    <w:rsid w:val="000A442E"/>
    <w:rsid w:val="000A538F"/>
    <w:rsid w:val="0017660E"/>
    <w:rsid w:val="0025328C"/>
    <w:rsid w:val="002732D6"/>
    <w:rsid w:val="00293C5D"/>
    <w:rsid w:val="0038017F"/>
    <w:rsid w:val="00492630"/>
    <w:rsid w:val="004F6881"/>
    <w:rsid w:val="00840FEA"/>
    <w:rsid w:val="00933D90"/>
    <w:rsid w:val="00AD37FB"/>
    <w:rsid w:val="00B614AD"/>
    <w:rsid w:val="00C9292E"/>
    <w:rsid w:val="00D043A9"/>
    <w:rsid w:val="00D3353A"/>
    <w:rsid w:val="00D65CA4"/>
    <w:rsid w:val="00DE577D"/>
    <w:rsid w:val="00E417ED"/>
    <w:rsid w:val="00F9755A"/>
    <w:rsid w:val="00FF6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A6692"/>
  <w15:docId w15:val="{3FAF9F86-E290-4697-9FCA-4EA77CB7E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17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E317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7E317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22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+WDxcuUify8Cnrp+LC/CCTGJVw==">CgMxLjA4AHIhMTdFaC1wTlF3SWNHN0dyNU1DWFA0bENxckc4RTFIRnRY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4</Pages>
  <Words>561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SmarBridge ML</dc:creator>
  <cp:lastModifiedBy>uday kumar</cp:lastModifiedBy>
  <cp:revision>4</cp:revision>
  <dcterms:created xsi:type="dcterms:W3CDTF">2025-12-24T11:40:00Z</dcterms:created>
  <dcterms:modified xsi:type="dcterms:W3CDTF">2025-12-24T15:42:00Z</dcterms:modified>
</cp:coreProperties>
</file>